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jc w:val="center"/>
        <w:rPr>
          <w:vanish w:val="0"/>
          <w:color w:val="424242"/>
        </w:rPr>
      </w:pPr>
      <w:r>
        <w:rPr>
          <w:rFonts w:hint="eastAsia"/>
          <w:b/>
          <w:bCs/>
          <w:vanish w:val="0"/>
          <w:color w:val="424242"/>
          <w:sz w:val="44"/>
          <w:szCs w:val="44"/>
        </w:rPr>
        <w:t>湛江市金融工作局惠企利民政策汇总</w:t>
      </w:r>
      <w:r>
        <w:rPr>
          <w:vanish w:val="0"/>
          <w:color w:val="424242"/>
        </w:rPr>
        <w:br w:type="textWrapping"/>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仿宋_GB2312" w:eastAsia="仿宋_GB2312"/>
          <w:vanish w:val="0"/>
          <w:color w:val="424242"/>
          <w:sz w:val="32"/>
          <w:szCs w:val="32"/>
        </w:rPr>
      </w:pPr>
      <w:r>
        <w:rPr>
          <w:rFonts w:hint="eastAsia" w:ascii="仿宋_GB2312" w:eastAsia="仿宋_GB2312"/>
          <w:vanish w:val="0"/>
          <w:color w:val="auto"/>
          <w:sz w:val="32"/>
          <w:szCs w:val="32"/>
        </w:rPr>
        <w:t>为做好惠企利民政策宣传解读工作，打通惠企利民政策落地“最后一公里”，现将湛江市金融工作局近年来发布且正在实施的有关政策汇总如下：</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一、湛江市金融支持海洋牧场加快高质量发展的若干措施</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发布日期：2023年6月26日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贯彻落实党的二十大精神和习近平总书记视察广东重要讲话、重要指示精神，全面落实党中央、全面落实以及省、市推进现代化海洋牧场建设的决策部署要求，进一步强化金融对海洋牧场建设发展的保障作用，助推全市海洋牧场加快高质量发展，做大做强海洋经济，为湛江全力建设省域副中心城市、加快打造现代化沿海经济带重要发展极、力争各项主要工作指标迈入全省第一方阵贡献更多金融力量，特制定如下措施。</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原文链接（附政策解读）：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"https://www.zhanjiang.gov.cn/jrj/gkmlpt/content/1/1776/post_1776792.html#1024"</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https://www.zhanjiang.gov.cn/jrj/gkmlpt/content/1/1776/post_1776792.html#1024</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二、湛江市推进企业赴北交所上市专项行动计划（2023-2025年）</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发布日期：2023年7月18日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贯彻落实党中央、国务院关于全面深化资本市场改革的决策部署，抢抓国家全面实施股票发行注册制、北京证券交易所扩容、新三板提标的发展机遇，进一步支持我市企业赴北交所上市“快车道”，促进我市产业转型升级，推动经济高质量发展，特制定本行动计划。</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原文链接（附政策解读）：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"https://www.zhanjiang.gov.cn/jrj/gkmlpt/content/1/1784/post_1784173.html#1024"</w:instrText>
      </w:r>
      <w:r>
        <w:rPr>
          <w:rStyle w:val="8"/>
          <w:rFonts w:hint="eastAsia" w:ascii="CESI仿宋-GB2312" w:hAnsi="CESI仿宋-GB2312" w:eastAsia="CESI仿宋-GB2312" w:cs="CESI仿宋-GB2312"/>
          <w:vanish w:val="0"/>
          <w:color w:val="auto"/>
          <w:sz w:val="32"/>
          <w:szCs w:val="32"/>
        </w:rPr>
        <w:fldChar w:fldCharType="separate"/>
      </w:r>
      <w:r>
        <w:rPr>
          <w:rStyle w:val="8"/>
          <w:rFonts w:hint="eastAsia" w:ascii="CESI仿宋-GB2312" w:hAnsi="CESI仿宋-GB2312" w:eastAsia="CESI仿宋-GB2312" w:cs="CESI仿宋-GB2312"/>
          <w:vanish w:val="0"/>
          <w:color w:val="auto"/>
          <w:sz w:val="32"/>
          <w:szCs w:val="32"/>
        </w:rPr>
        <w:t>https://www.zhanjiang.gov.cn/jrj/gkmlpt/content/1/1784/post_1784173.html#1024</w:t>
      </w:r>
      <w:r>
        <w:rPr>
          <w:rStyle w:val="8"/>
          <w:rFonts w:hint="eastAsia" w:ascii="CESI仿宋-GB2312" w:hAnsi="CESI仿宋-GB2312" w:eastAsia="CESI仿宋-GB2312" w:cs="CESI仿宋-GB2312"/>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三、湛江市上市后备企业培育管理办法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发布日期：2020年9月3日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充分挖掘我市上市企业资源，集中力量扶持优质企业利用多层次资本市场发展壮大，依据《湛江市鼓励企业利用资本市场上市融资奖励办法》，建立“湛江市上市后备企业资源库”，并结合实际，制定本管理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原文链接（附政策解读）：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"https://www.zhanjiang.gov.cn/jrj/gkmlpt/content/1/1400/post_1400979.html#1023"</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https://www.zhanjiang.gov.cn/jrj/gkmlpt/content/1/1400/post_1400979.html#1023</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四、湛江市鼓励企业利用资本市场上市融资奖励办法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发布日期：2020年1月22日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鼓励我市企业提升自主创新能力，利用多层次资本市场融资发展，促进企业做优做强，根据国务院《关于进一步促进资本市场健康发展的若干意见》（国发〔2014〕17号）、《广东省人民政府办公厅关于印发&lt;广东省推进普惠金融发展实施方案（2016-2020年）&gt;的通知》（粤府办〔2016〕132号）、《中共湛江市委关于加快建设省域副中心城市打造现代化沿海经济带重要发展极的决定》（湛发〔2019〕2号）和《中共湛江市委 湛江市人民政府关于鼓励和支持骨干企业壮大规模增强实力的指导意见》（湛发〔2014〕3号）等文件精神，制定本办法。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原文链接（附政策解读）：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vanish w:val="0"/>
          <w:color w:val="42424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"https://www.zhanjiang.gov.cn/jrj/gkmlpt/content/1/1400/post_1400969.html#1024"</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https://www.zhanjiang.gov.cn/jrj/gkmlpt/content/1/1400/post_1400969.html#1024</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五、湛江市金融工作局关于湛江市中小微企业转贷资金管理办法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发布日期：2022年9月30日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积极发挥财政资金杠杆扶持作用，缓解企业短期资金周转压力，努力缓解企业融资难、融资贵问题，决定设立湛江市中小微企业转贷资金。为规范转贷资金的使用和管理，结合我市实际，制定本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原文链接（附政策解读）：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"https://www.zhanjiang.gov.cn/jrj/gkmlpt/content/1/1674/post_1674553.html#1023"</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https://www.zhanjiang.gov.cn/jrj/gkmlpt/content/1/1674/post_1674553.html#1023</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六、湛江市深化民营和小微企业金融服务综合改革试点城市奖励资金使用管理工作方案</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Fonts w:hint="eastAsia" w:ascii="CESI仿宋-GB2312" w:hAnsi="CESI仿宋-GB2312" w:eastAsia="CESI仿宋-GB2312" w:cs="CESI仿宋-GB2312"/>
          <w:b w:val="0"/>
          <w:bCs w:val="0"/>
          <w:vanish w:val="0"/>
          <w:color w:val="auto"/>
          <w:sz w:val="32"/>
          <w:szCs w:val="32"/>
        </w:rPr>
        <w:t>发布日期：2020年9月30日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政策背景：湛江市2020年成功获得中央财政普惠金融发展专项资金支持深化民营和小微企业金融服务综合改革试点城市的奖励资金3000万元。</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根据《财政部 科技部 工业和信息化部 人民银行 银保监会关于开展财政支持深化民营和小微企业金融服务综合改革试点城市工作的通知》（财金〔2019〕62号，以下简称“财政部62号文”），明年（即2021年）初，省财政厅牵头对湛江市试点工作进行绩效评价，财政部根据工作需要对绩效评价结果进行抽评，对于绩效评价或抽评结果分值低于70分的试点城市，取消试点资格，追回全部奖励资金。</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"https://www.zhanjiang.gov.cn/jrj/gkmlpt/content/1/1767/post_1767863.html#1024"</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https://www.zhanjiang.gov.cn/jrj/gkmlpt/content/1/1767/post_1767863.html#1024</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黑体-GB2312" w:hAnsi="CESI黑体-GB2312" w:eastAsia="CESI黑体-GB2312" w:cs="CESI黑体-GB2312"/>
          <w:b w:val="0"/>
          <w:bCs w:val="0"/>
          <w:vanish w:val="0"/>
          <w:color w:val="424242"/>
          <w:sz w:val="32"/>
          <w:szCs w:val="32"/>
        </w:rPr>
      </w:pPr>
      <w:r>
        <w:rPr>
          <w:rFonts w:hint="eastAsia" w:ascii="CESI黑体-GB2312" w:hAnsi="CESI黑体-GB2312" w:eastAsia="CESI黑体-GB2312" w:cs="CESI黑体-GB2312"/>
          <w:b w:val="0"/>
          <w:bCs w:val="0"/>
          <w:vanish w:val="0"/>
          <w:color w:val="424242"/>
          <w:sz w:val="32"/>
          <w:szCs w:val="32"/>
        </w:rPr>
        <w:t>七、非法集资举报奖励办法</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bookmarkStart w:id="0" w:name="_GoBack"/>
      <w:r>
        <w:rPr>
          <w:rFonts w:hint="eastAsia" w:ascii="CESI仿宋-GB2312" w:hAnsi="CESI仿宋-GB2312" w:eastAsia="CESI仿宋-GB2312" w:cs="CESI仿宋-GB2312"/>
          <w:b w:val="0"/>
          <w:bCs w:val="0"/>
          <w:vanish w:val="0"/>
          <w:color w:val="auto"/>
          <w:sz w:val="32"/>
          <w:szCs w:val="32"/>
        </w:rPr>
        <w:t>发布日期：2020年5月8日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Fonts w:hint="eastAsia" w:ascii="CESI仿宋-GB2312" w:hAnsi="CESI仿宋-GB2312" w:eastAsia="CESI仿宋-GB2312" w:cs="CESI仿宋-GB2312"/>
          <w:b w:val="0"/>
          <w:bCs w:val="0"/>
          <w:vanish w:val="0"/>
          <w:color w:val="auto"/>
          <w:sz w:val="32"/>
          <w:szCs w:val="32"/>
        </w:rPr>
        <w:t>政策背景：为鼓励广大群众积极提供非法集资线索，有效打击非法集资行为，根据相关法律、法规以及《国务院关于进一步做好防范和处置非法集资工作的意见》（国发〔2015〕59号）、《非法集资举报奖励办法》（处非联函〔2016〕6号）精神，结合我省市级，制定本实施细则。</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原文链接：</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"https://www.zhanjiang.gov.cn/jrj/gkmlpt/content/1/1400/post_1400973.html#1024"</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https://www.zhanjiang.gov.cn/jrj/gkmlpt/content/1/1400/post_1400973.html#1024</w:t>
      </w:r>
      <w:r>
        <w:rPr>
          <w:rStyle w:val="8"/>
          <w:rFonts w:hint="eastAsia" w:ascii="CESI仿宋-GB2312" w:hAnsi="CESI仿宋-GB2312" w:eastAsia="CESI仿宋-GB2312" w:cs="CESI仿宋-GB2312"/>
          <w:b w:val="0"/>
          <w:bCs w:val="0"/>
          <w:vanish w:val="0"/>
          <w:color w:val="auto"/>
          <w:sz w:val="32"/>
          <w:szCs w:val="32"/>
        </w:rPr>
        <w:fldChar w:fldCharType="end"/>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b w:val="0"/>
          <w:bCs w:val="0"/>
          <w:vanish w:val="0"/>
          <w:color w:val="auto"/>
          <w:sz w:val="32"/>
          <w:szCs w:val="32"/>
        </w:rPr>
      </w:pPr>
      <w:r>
        <w:rPr>
          <w:rFonts w:hint="eastAsia" w:ascii="CESI仿宋-GB2312" w:hAnsi="CESI仿宋-GB2312" w:eastAsia="CESI仿宋-GB2312" w:cs="CESI仿宋-GB2312"/>
          <w:b w:val="0"/>
          <w:bCs w:val="0"/>
          <w:vanish w:val="0"/>
          <w:color w:val="auto"/>
          <w:sz w:val="32"/>
          <w:szCs w:val="32"/>
        </w:rPr>
        <w:t>政策解读：</w:t>
      </w:r>
    </w:p>
    <w:p>
      <w:pPr>
        <w:pBdr>
          <w:top w:val="none" w:color="auto" w:sz="0" w:space="0"/>
          <w:left w:val="none" w:color="auto" w:sz="0" w:space="0"/>
          <w:bottom w:val="none" w:color="auto" w:sz="0" w:space="0"/>
          <w:right w:val="none" w:color="auto" w:sz="0" w:space="0"/>
        </w:pBdr>
        <w:wordWrap w:val="0"/>
        <w:spacing w:before="0" w:beforeAutospacing="0" w:after="0" w:afterAutospacing="0" w:line="604" w:lineRule="atLeast"/>
        <w:ind w:left="0" w:right="0" w:firstLine="633"/>
        <w:rPr>
          <w:rFonts w:hint="eastAsia" w:ascii="CESI仿宋-GB2312" w:hAnsi="CESI仿宋-GB2312" w:eastAsia="CESI仿宋-GB2312" w:cs="CESI仿宋-GB2312"/>
          <w:vanish w:val="0"/>
          <w:color w:val="auto"/>
          <w:sz w:val="32"/>
          <w:szCs w:val="32"/>
        </w:rPr>
      </w:pPr>
      <w:r>
        <w:rPr>
          <w:rStyle w:val="8"/>
          <w:rFonts w:hint="eastAsia" w:ascii="CESI仿宋-GB2312" w:hAnsi="CESI仿宋-GB2312" w:eastAsia="CESI仿宋-GB2312" w:cs="CESI仿宋-GB2312"/>
          <w:b w:val="0"/>
          <w:bCs w:val="0"/>
          <w:vanish w:val="0"/>
          <w:color w:val="auto"/>
          <w:sz w:val="32"/>
          <w:szCs w:val="32"/>
        </w:rPr>
        <w:fldChar w:fldCharType="begin"/>
      </w:r>
      <w:r>
        <w:rPr>
          <w:rFonts w:hint="eastAsia" w:ascii="CESI仿宋-GB2312" w:hAnsi="CESI仿宋-GB2312" w:eastAsia="CESI仿宋-GB2312" w:cs="CESI仿宋-GB2312"/>
          <w:color w:val="auto"/>
          <w:sz w:val="32"/>
          <w:szCs w:val="32"/>
        </w:rPr>
        <w:instrText xml:space="preserve">HYPERLINK "https://www.zhanjiang.gov.cn/jrj/gkmlpt/content/1/1400/post_1400975.html#1024"</w:instrText>
      </w:r>
      <w:r>
        <w:rPr>
          <w:rStyle w:val="8"/>
          <w:rFonts w:hint="eastAsia" w:ascii="CESI仿宋-GB2312" w:hAnsi="CESI仿宋-GB2312" w:eastAsia="CESI仿宋-GB2312" w:cs="CESI仿宋-GB2312"/>
          <w:b w:val="0"/>
          <w:bCs w:val="0"/>
          <w:vanish w:val="0"/>
          <w:color w:val="auto"/>
          <w:sz w:val="32"/>
          <w:szCs w:val="32"/>
        </w:rPr>
        <w:fldChar w:fldCharType="separate"/>
      </w:r>
      <w:r>
        <w:rPr>
          <w:rStyle w:val="8"/>
          <w:rFonts w:hint="eastAsia" w:ascii="CESI仿宋-GB2312" w:hAnsi="CESI仿宋-GB2312" w:eastAsia="CESI仿宋-GB2312" w:cs="CESI仿宋-GB2312"/>
          <w:b w:val="0"/>
          <w:bCs w:val="0"/>
          <w:vanish w:val="0"/>
          <w:color w:val="auto"/>
          <w:sz w:val="32"/>
          <w:szCs w:val="32"/>
        </w:rPr>
        <w:t>https://www.zhanjiang.gov.cn/jrj/gkmlpt/content/1/1400/post_1400975.html#1024</w:t>
      </w:r>
      <w:r>
        <w:rPr>
          <w:rStyle w:val="8"/>
          <w:rFonts w:hint="eastAsia" w:ascii="CESI仿宋-GB2312" w:hAnsi="CESI仿宋-GB2312" w:eastAsia="CESI仿宋-GB2312" w:cs="CESI仿宋-GB2312"/>
          <w:b w:val="0"/>
          <w:bCs w:val="0"/>
          <w:vanish w:val="0"/>
          <w:color w:val="auto"/>
          <w:sz w:val="32"/>
          <w:szCs w:val="32"/>
        </w:rPr>
        <w:fldChar w:fldCharType="end"/>
      </w:r>
      <w:bookmarkEnd w:id="0"/>
    </w:p>
    <w:p>
      <w:pPr>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b w:val="0"/>
          <w:bCs w:val="0"/>
          <w:vanish w:val="0"/>
          <w:color w:val="auto"/>
          <w:sz w:val="32"/>
          <w:szCs w:val="32"/>
        </w:rPr>
        <w:br w:type="textWrapping"/>
      </w:r>
    </w:p>
    <w:sectPr>
      <w:pgSz w:w="11907" w:h="16839"/>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Music"/>
    <w:panose1 w:val="020B0602030504020204"/>
    <w:charset w:val="00"/>
    <w:family w:val="auto"/>
    <w:pitch w:val="default"/>
    <w:sig w:usb0="00000000" w:usb1="00000000" w:usb2="00000000" w:usb3="00000000" w:csb0="20000001" w:csb1="00000000"/>
  </w:font>
  <w:font w:name="方正兰亭黑_GBK">
    <w:altName w:val="方正黑体_GBK"/>
    <w:panose1 w:val="02000000000000000000"/>
    <w:charset w:val="86"/>
    <w:family w:val="script"/>
    <w:pitch w:val="default"/>
    <w:sig w:usb0="00000000" w:usb1="00000000" w:usb2="0008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
  <w:rsids>
    <w:rsidRoot w:val="00000000"/>
    <w:rsid w:val="FEDFE3F1"/>
    <w:rsid w:val="FFEE2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方正兰亭黑_GBK" w:eastAsia="宋体" w:cs="Lucida Sans"/>
      <w:kern w:val="2"/>
      <w:sz w:val="24"/>
      <w:szCs w:val="21"/>
      <w:lang w:val="en-US" w:eastAsia="zh-CN" w:bidi="ar-SA"/>
    </w:rPr>
  </w:style>
  <w:style w:type="paragraph" w:styleId="2">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0"/>
    </w:pPr>
    <w:rPr>
      <w:rFonts w:ascii="宋体" w:hAnsi="方正兰亭黑_GBK" w:eastAsia="宋体"/>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FollowedHyperlink"/>
    <w:basedOn w:val="6"/>
    <w:qFormat/>
    <w:uiPriority w:val="0"/>
    <w:rPr>
      <w:color w:val="800080"/>
      <w:u w:val="single"/>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0</Words>
  <Characters>1685</Characters>
  <Lines>0</Lines>
  <Paragraphs>42</Paragraphs>
  <TotalTime>13</TotalTime>
  <ScaleCrop>false</ScaleCrop>
  <LinksUpToDate>false</LinksUpToDate>
  <CharactersWithSpaces>2247</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2024-03-21T18:15:00Z</dcterms:created>
  <dc:creator>SXZF005</dc:creator>
  <cp:lastModifiedBy>admin</cp:lastModifiedBy>
  <dcterms:modified xsi:type="dcterms:W3CDTF">2024-03-21T10:35:53Z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