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2022年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遂溪县建新镇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>人民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政府</w:t>
      </w:r>
      <w:r>
        <w:rPr>
          <w:rFonts w:hint="eastAsia"/>
          <w:b/>
          <w:bCs/>
          <w:sz w:val="32"/>
          <w:szCs w:val="32"/>
        </w:rPr>
        <w:t>“三公”经费部门预算及说明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="1675" w:tblpY="180"/>
        <w:tblOverlap w:val="never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1200"/>
        <w:gridCol w:w="1545"/>
        <w:gridCol w:w="814"/>
        <w:gridCol w:w="311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49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遂溪县建新镇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人民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政府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35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其中：（一）因公出国（境）支出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（二）公务用车购置及运行维护支出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1.公务用车购置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2.公务用车运行维护费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（三）公务接待费支出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“三公”经费：</w:t>
      </w:r>
      <w:r>
        <w:rPr>
          <w:rFonts w:hint="eastAsia" w:ascii="仿宋_GB2312" w:eastAsia="仿宋_GB2312"/>
          <w:sz w:val="24"/>
          <w:szCs w:val="24"/>
        </w:rPr>
        <w:t>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2022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年本部门财政拨款安排“三公”经费</w:t>
      </w:r>
      <w:bookmarkStart w:id="1" w:name="PO_part3A2Amount1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24"/>
          <w:szCs w:val="24"/>
        </w:rPr>
        <w:t>增加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24"/>
          <w:szCs w:val="24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24"/>
          <w:szCs w:val="24"/>
        </w:rPr>
        <w:t>增长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24"/>
          <w:szCs w:val="24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24"/>
          <w:szCs w:val="24"/>
        </w:rPr>
        <w:t>与上年持平，无增减变化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24"/>
          <w:szCs w:val="24"/>
        </w:rPr>
        <w:t>。其中：因公出国（境）费</w:t>
      </w:r>
      <w:bookmarkStart w:id="5" w:name="PO_part3A2Amount2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24"/>
          <w:szCs w:val="24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24"/>
          <w:szCs w:val="24"/>
        </w:rPr>
        <w:t>增加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24"/>
          <w:szCs w:val="24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24"/>
          <w:szCs w:val="24"/>
        </w:rPr>
        <w:t>增长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24"/>
          <w:szCs w:val="24"/>
        </w:rPr>
        <w:t>%，主要原因是</w:t>
      </w:r>
      <w:bookmarkStart w:id="8" w:name="PO_part3A2IncReason2"/>
      <w:r>
        <w:rPr>
          <w:rFonts w:hint="eastAsia" w:ascii="仿宋_GB2312" w:hAnsi="仿宋_GB2312" w:eastAsia="仿宋_GB2312" w:cs="仿宋_GB2312"/>
          <w:sz w:val="24"/>
          <w:szCs w:val="24"/>
        </w:rPr>
        <w:t xml:space="preserve">与上年持平，无增减变化 </w:t>
      </w:r>
      <w:bookmarkEnd w:id="8"/>
      <w:r>
        <w:rPr>
          <w:rFonts w:hint="eastAsia" w:ascii="仿宋_GB2312" w:hAnsi="仿宋_GB2312" w:eastAsia="仿宋_GB2312" w:cs="仿宋_GB2312"/>
          <w:sz w:val="24"/>
          <w:szCs w:val="24"/>
        </w:rPr>
        <w:t>；公务用车购置及运行费</w:t>
      </w:r>
      <w:bookmarkStart w:id="9" w:name="PO_part3A2Amount3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24"/>
          <w:szCs w:val="24"/>
        </w:rPr>
        <w:t>万元（公务用车购置费</w:t>
      </w:r>
      <w:bookmarkStart w:id="10" w:name="PO_part3A2Amount4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24"/>
          <w:szCs w:val="24"/>
        </w:rPr>
        <w:t>万元，比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上年</w:t>
      </w:r>
      <w:bookmarkStart w:id="11" w:name="PO_part3A2IncAmount5"/>
      <w:r>
        <w:rPr>
          <w:rFonts w:hint="eastAsia" w:ascii="仿宋_GB2312" w:hAnsi="仿宋_GB2312" w:eastAsia="仿宋_GB2312" w:cs="仿宋_GB2312"/>
          <w:sz w:val="24"/>
          <w:szCs w:val="24"/>
        </w:rPr>
        <w:t>增加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万元</w:t>
      </w:r>
      <w:r>
        <w:rPr>
          <w:rFonts w:hint="eastAsia" w:ascii="仿宋_GB2312" w:hAnsi="宋体" w:eastAsia="仿宋_GB2312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公务用车运行维护费</w:t>
      </w:r>
      <w:bookmarkStart w:id="12" w:name="PO_part3A2Amount5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24"/>
          <w:szCs w:val="24"/>
        </w:rPr>
        <w:t>万元，比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上年</w:t>
      </w:r>
      <w:bookmarkStart w:id="13" w:name="PO_part3A2IncAmount6"/>
      <w:r>
        <w:rPr>
          <w:rFonts w:hint="eastAsia" w:ascii="仿宋_GB2312" w:hAnsi="仿宋_GB2312" w:eastAsia="仿宋_GB2312" w:cs="仿宋_GB2312"/>
          <w:sz w:val="24"/>
          <w:szCs w:val="24"/>
        </w:rPr>
        <w:t>增加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24"/>
          <w:szCs w:val="24"/>
        </w:rPr>
        <w:t>比上年</w:t>
      </w:r>
      <w:bookmarkStart w:id="14" w:name="PO_part3A2IncAmount3"/>
      <w:r>
        <w:rPr>
          <w:rFonts w:hint="eastAsia" w:ascii="仿宋_GB2312" w:hAnsi="仿宋_GB2312" w:eastAsia="仿宋_GB2312" w:cs="仿宋_GB2312"/>
          <w:sz w:val="24"/>
          <w:szCs w:val="24"/>
        </w:rPr>
        <w:t>增加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24"/>
          <w:szCs w:val="24"/>
        </w:rPr>
        <w:t>万元，</w:t>
      </w:r>
      <w:bookmarkStart w:id="15" w:name="PO_part3A2IncPercent3"/>
      <w:r>
        <w:rPr>
          <w:rFonts w:hint="eastAsia" w:ascii="仿宋_GB2312" w:hAnsi="仿宋_GB2312" w:eastAsia="仿宋_GB2312" w:cs="仿宋_GB2312"/>
          <w:sz w:val="24"/>
          <w:szCs w:val="24"/>
        </w:rPr>
        <w:t>增长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24"/>
          <w:szCs w:val="24"/>
        </w:rPr>
        <w:t>%，主要原因是</w:t>
      </w:r>
      <w:bookmarkStart w:id="16" w:name="PO_part3A2IncReason3"/>
      <w:r>
        <w:rPr>
          <w:rFonts w:hint="eastAsia" w:ascii="仿宋_GB2312" w:hAnsi="仿宋_GB2312" w:eastAsia="仿宋_GB2312" w:cs="仿宋_GB2312"/>
          <w:sz w:val="24"/>
          <w:szCs w:val="24"/>
        </w:rPr>
        <w:t xml:space="preserve">与上年持平，无增减变化 </w:t>
      </w:r>
      <w:bookmarkEnd w:id="16"/>
      <w:r>
        <w:rPr>
          <w:rFonts w:hint="eastAsia" w:ascii="仿宋_GB2312" w:hAnsi="仿宋_GB2312" w:eastAsia="仿宋_GB2312" w:cs="仿宋_GB2312"/>
          <w:sz w:val="24"/>
          <w:szCs w:val="24"/>
        </w:rPr>
        <w:t>；公务接待费</w:t>
      </w:r>
      <w:bookmarkStart w:id="17" w:name="PO_part3A2Amount6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24"/>
          <w:szCs w:val="24"/>
        </w:rPr>
        <w:t>万元，比上年</w:t>
      </w:r>
      <w:bookmarkStart w:id="18" w:name="PO_part3A2IncAmount4"/>
      <w:r>
        <w:rPr>
          <w:rFonts w:hint="eastAsia" w:ascii="仿宋_GB2312" w:hAnsi="仿宋_GB2312" w:eastAsia="仿宋_GB2312" w:cs="仿宋_GB2312"/>
          <w:sz w:val="24"/>
          <w:szCs w:val="24"/>
        </w:rPr>
        <w:t>增加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24"/>
          <w:szCs w:val="24"/>
        </w:rPr>
        <w:t>万元，</w:t>
      </w:r>
      <w:bookmarkStart w:id="19" w:name="PO_part3A2IncPercent4"/>
      <w:r>
        <w:rPr>
          <w:rFonts w:hint="eastAsia" w:ascii="仿宋_GB2312" w:hAnsi="仿宋_GB2312" w:eastAsia="仿宋_GB2312" w:cs="仿宋_GB2312"/>
          <w:sz w:val="24"/>
          <w:szCs w:val="24"/>
        </w:rPr>
        <w:t>增长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24"/>
          <w:szCs w:val="24"/>
        </w:rPr>
        <w:t>%，主要原因是</w:t>
      </w:r>
      <w:bookmarkStart w:id="20" w:name="PO_part3A2IncReason4"/>
      <w:r>
        <w:rPr>
          <w:rFonts w:hint="eastAsia" w:ascii="仿宋_GB2312" w:hAnsi="仿宋_GB2312" w:eastAsia="仿宋_GB2312" w:cs="仿宋_GB2312"/>
          <w:sz w:val="24"/>
          <w:szCs w:val="24"/>
        </w:rPr>
        <w:t xml:space="preserve">与上年持平，无增减变化 </w:t>
      </w:r>
      <w:bookmarkEnd w:id="20"/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C1866"/>
    <w:multiLevelType w:val="singleLevel"/>
    <w:tmpl w:val="CE7C18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3480E"/>
    <w:rsid w:val="3F1E25DD"/>
    <w:rsid w:val="66A0201C"/>
    <w:rsid w:val="675114E9"/>
    <w:rsid w:val="7B4E4F1A"/>
    <w:rsid w:val="7C93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674</Characters>
  <Lines>0</Lines>
  <Paragraphs>0</Paragraphs>
  <TotalTime>3</TotalTime>
  <ScaleCrop>false</ScaleCrop>
  <LinksUpToDate>false</LinksUpToDate>
  <CharactersWithSpaces>743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2022-04-27T08:36:00Z</dcterms:created>
  <dc:creator>Administrator</dc:creator>
  <cp:lastModifiedBy>Administrator</cp:lastModifiedBy>
  <cp:lastPrinted>2022-04-27T08:46:44Z</cp:lastPrinted>
  <dcterms:modified xsi:type="dcterms:W3CDTF">2022-04-27T08:47:47Z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639CD81A333A4B54A6BBA31187D8A4A9</vt:lpwstr>
  </property>
</Properties>
</file>